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B7" w:rsidRPr="004D4277" w:rsidRDefault="000E3D8A" w:rsidP="000E3D8A">
      <w:pPr>
        <w:jc w:val="center"/>
        <w:rPr>
          <w:b/>
          <w:sz w:val="20"/>
          <w:szCs w:val="20"/>
        </w:rPr>
      </w:pPr>
      <w:r w:rsidRPr="004D4277">
        <w:rPr>
          <w:b/>
          <w:sz w:val="20"/>
          <w:szCs w:val="20"/>
        </w:rPr>
        <w:t xml:space="preserve">Результаты независимой </w:t>
      </w:r>
      <w:proofErr w:type="gramStart"/>
      <w:r w:rsidRPr="004D4277">
        <w:rPr>
          <w:b/>
          <w:sz w:val="20"/>
          <w:szCs w:val="20"/>
        </w:rPr>
        <w:t>оценки  качества условий осуществления образовательной де</w:t>
      </w:r>
      <w:r w:rsidR="0097381B" w:rsidRPr="004D4277">
        <w:rPr>
          <w:b/>
          <w:sz w:val="20"/>
          <w:szCs w:val="20"/>
        </w:rPr>
        <w:t xml:space="preserve">ятельности  </w:t>
      </w:r>
      <w:r w:rsidR="009862C5">
        <w:rPr>
          <w:b/>
          <w:sz w:val="20"/>
          <w:szCs w:val="20"/>
        </w:rPr>
        <w:t>обще</w:t>
      </w:r>
      <w:r w:rsidR="0097381B" w:rsidRPr="004D4277">
        <w:rPr>
          <w:b/>
          <w:sz w:val="20"/>
          <w:szCs w:val="20"/>
        </w:rPr>
        <w:t>образовательной организаци</w:t>
      </w:r>
      <w:r w:rsidR="002965D5">
        <w:rPr>
          <w:b/>
          <w:sz w:val="20"/>
          <w:szCs w:val="20"/>
        </w:rPr>
        <w:t>и</w:t>
      </w:r>
      <w:r w:rsidR="0097381B" w:rsidRPr="004D4277">
        <w:rPr>
          <w:b/>
          <w:sz w:val="20"/>
          <w:szCs w:val="20"/>
        </w:rPr>
        <w:t xml:space="preserve"> Республики Коми</w:t>
      </w:r>
      <w:proofErr w:type="gramEnd"/>
      <w:r w:rsidR="0097381B" w:rsidRPr="004D4277">
        <w:rPr>
          <w:b/>
          <w:sz w:val="20"/>
          <w:szCs w:val="20"/>
        </w:rPr>
        <w:t xml:space="preserve"> в 20</w:t>
      </w:r>
      <w:r w:rsidR="002965D5">
        <w:rPr>
          <w:b/>
          <w:sz w:val="20"/>
          <w:szCs w:val="20"/>
        </w:rPr>
        <w:t>2</w:t>
      </w:r>
      <w:r w:rsidR="00CB6D1E">
        <w:rPr>
          <w:b/>
          <w:sz w:val="20"/>
          <w:szCs w:val="20"/>
        </w:rPr>
        <w:t>2</w:t>
      </w:r>
      <w:r w:rsidR="0097381B" w:rsidRPr="004D4277">
        <w:rPr>
          <w:b/>
          <w:sz w:val="20"/>
          <w:szCs w:val="20"/>
        </w:rPr>
        <w:t xml:space="preserve"> году</w:t>
      </w:r>
    </w:p>
    <w:p w:rsidR="00F65705" w:rsidRPr="00FE664F" w:rsidRDefault="00F65705" w:rsidP="004D4277">
      <w:pPr>
        <w:jc w:val="both"/>
        <w:rPr>
          <w:b/>
          <w:sz w:val="20"/>
          <w:szCs w:val="20"/>
        </w:rPr>
      </w:pPr>
    </w:p>
    <w:p w:rsidR="0097515E" w:rsidRPr="00792052" w:rsidRDefault="004D4277" w:rsidP="004D4277">
      <w:pPr>
        <w:ind w:firstLine="567"/>
        <w:jc w:val="both"/>
        <w:rPr>
          <w:sz w:val="20"/>
          <w:szCs w:val="20"/>
          <w:u w:val="single"/>
        </w:rPr>
      </w:pPr>
      <w:r w:rsidRPr="00FE664F">
        <w:rPr>
          <w:b/>
          <w:i/>
          <w:sz w:val="20"/>
          <w:szCs w:val="20"/>
        </w:rPr>
        <w:t xml:space="preserve">Объект </w:t>
      </w:r>
      <w:r w:rsidR="000E3D8A" w:rsidRPr="00FE664F">
        <w:rPr>
          <w:b/>
          <w:i/>
          <w:sz w:val="20"/>
          <w:szCs w:val="20"/>
        </w:rPr>
        <w:t>исследования:</w:t>
      </w:r>
      <w:r w:rsidR="0097381B" w:rsidRPr="00FE664F">
        <w:rPr>
          <w:b/>
          <w:i/>
          <w:sz w:val="20"/>
          <w:szCs w:val="20"/>
        </w:rPr>
        <w:t xml:space="preserve"> </w:t>
      </w:r>
      <w:r w:rsidR="00AF6761" w:rsidRPr="00AF6761">
        <w:rPr>
          <w:sz w:val="16"/>
          <w:szCs w:val="16"/>
          <w:u w:val="single"/>
        </w:rPr>
        <w:t>МУНИЦИПАЛЬНОЕ БЮДЖЕТНОЕ ОБЩЕОБРАЗОВАТЕЛЬНОЕ УЧРЕЖДЕНИЕ "ОСНОВНАЯ ОБЩЕОБРАЗОВАТЕЛЬНАЯ ШКОЛА" С. УСТЬ-ЛЫЖА</w:t>
      </w:r>
    </w:p>
    <w:p w:rsidR="001B6CD8" w:rsidRPr="00792052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4D4277" w:rsidRPr="00792052" w:rsidRDefault="004D4277" w:rsidP="004D4277">
      <w:pPr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 xml:space="preserve">Результаты независимой </w:t>
      </w:r>
      <w:proofErr w:type="gramStart"/>
      <w:r w:rsidRPr="00792052">
        <w:rPr>
          <w:sz w:val="20"/>
          <w:szCs w:val="20"/>
        </w:rPr>
        <w:t>оценки качества условий осуществления образовательной деятельности</w:t>
      </w:r>
      <w:proofErr w:type="gramEnd"/>
      <w:r w:rsidRPr="00792052">
        <w:rPr>
          <w:sz w:val="20"/>
          <w:szCs w:val="20"/>
        </w:rPr>
        <w:t xml:space="preserve"> были получены посредством:</w:t>
      </w:r>
    </w:p>
    <w:p w:rsidR="004D4277" w:rsidRPr="00792052" w:rsidRDefault="004D4277" w:rsidP="004D4277">
      <w:pPr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>1) Анализа официального сайта,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4D4277" w:rsidRPr="00792052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>2) Проведения анкетирования потребителей услуг образовательной организации (онлайн опрос).</w:t>
      </w:r>
    </w:p>
    <w:p w:rsidR="004D4277" w:rsidRPr="00792052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4D4277" w:rsidRPr="00792052" w:rsidRDefault="004D4277" w:rsidP="004D4277">
      <w:pPr>
        <w:ind w:firstLine="567"/>
        <w:jc w:val="both"/>
        <w:rPr>
          <w:b/>
          <w:i/>
          <w:sz w:val="20"/>
          <w:szCs w:val="20"/>
        </w:rPr>
      </w:pPr>
      <w:r w:rsidRPr="00792052">
        <w:rPr>
          <w:b/>
          <w:i/>
          <w:sz w:val="20"/>
          <w:szCs w:val="20"/>
        </w:rPr>
        <w:t xml:space="preserve">Выборка </w:t>
      </w:r>
    </w:p>
    <w:p w:rsidR="004D4277" w:rsidRPr="00792052" w:rsidRDefault="004D4277" w:rsidP="004D4277">
      <w:pPr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>Общереспубликанский показатель охвата респондентов по</w:t>
      </w:r>
      <w:r w:rsidRPr="00792052">
        <w:rPr>
          <w:i/>
          <w:sz w:val="20"/>
          <w:szCs w:val="20"/>
        </w:rPr>
        <w:t xml:space="preserve"> </w:t>
      </w:r>
      <w:r w:rsidRPr="00792052">
        <w:rPr>
          <w:sz w:val="20"/>
          <w:szCs w:val="20"/>
        </w:rPr>
        <w:t xml:space="preserve">общеобразовательным организациям (далее - ОО) Республики Коми </w:t>
      </w:r>
      <w:r w:rsidRPr="00343DA7">
        <w:rPr>
          <w:color w:val="000000" w:themeColor="text1"/>
          <w:sz w:val="20"/>
          <w:szCs w:val="20"/>
        </w:rPr>
        <w:t xml:space="preserve">составил </w:t>
      </w:r>
      <w:r w:rsidR="00343DA7" w:rsidRPr="00343DA7">
        <w:rPr>
          <w:color w:val="000000" w:themeColor="text1"/>
          <w:sz w:val="20"/>
          <w:szCs w:val="20"/>
        </w:rPr>
        <w:t>50,26</w:t>
      </w:r>
      <w:r w:rsidR="006A2646" w:rsidRPr="00343DA7">
        <w:rPr>
          <w:color w:val="000000" w:themeColor="text1"/>
          <w:sz w:val="20"/>
          <w:szCs w:val="20"/>
        </w:rPr>
        <w:t xml:space="preserve"> </w:t>
      </w:r>
      <w:r w:rsidRPr="00343DA7">
        <w:rPr>
          <w:color w:val="000000" w:themeColor="text1"/>
          <w:sz w:val="20"/>
          <w:szCs w:val="20"/>
        </w:rPr>
        <w:t>%.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792052">
        <w:rPr>
          <w:sz w:val="20"/>
          <w:szCs w:val="20"/>
        </w:rPr>
        <w:t xml:space="preserve">Выборка </w:t>
      </w:r>
      <w:r w:rsidRPr="00343DA7">
        <w:rPr>
          <w:color w:val="000000" w:themeColor="text1"/>
          <w:sz w:val="20"/>
          <w:szCs w:val="20"/>
        </w:rPr>
        <w:t xml:space="preserve">опрошенных </w:t>
      </w:r>
      <w:r w:rsidR="002F33E6" w:rsidRPr="00343DA7">
        <w:rPr>
          <w:color w:val="000000" w:themeColor="text1"/>
          <w:sz w:val="20"/>
          <w:szCs w:val="20"/>
        </w:rPr>
        <w:t xml:space="preserve">посредством онлайн-анкеты </w:t>
      </w:r>
      <w:r w:rsidRPr="00343DA7">
        <w:rPr>
          <w:color w:val="000000" w:themeColor="text1"/>
          <w:sz w:val="20"/>
          <w:szCs w:val="20"/>
        </w:rPr>
        <w:t xml:space="preserve">по </w:t>
      </w:r>
      <w:r w:rsidR="00AF6761" w:rsidRPr="00343DA7">
        <w:rPr>
          <w:color w:val="000000" w:themeColor="text1"/>
          <w:sz w:val="16"/>
          <w:szCs w:val="16"/>
          <w:u w:val="single"/>
        </w:rPr>
        <w:t>МУНИЦИПАЛЬНО</w:t>
      </w:r>
      <w:r w:rsidR="005B3594" w:rsidRPr="00343DA7">
        <w:rPr>
          <w:color w:val="000000" w:themeColor="text1"/>
          <w:sz w:val="16"/>
          <w:szCs w:val="16"/>
          <w:u w:val="single"/>
        </w:rPr>
        <w:t>МУ</w:t>
      </w:r>
      <w:r w:rsidR="00AF6761" w:rsidRPr="00343DA7">
        <w:rPr>
          <w:color w:val="000000" w:themeColor="text1"/>
          <w:sz w:val="16"/>
          <w:szCs w:val="16"/>
          <w:u w:val="single"/>
        </w:rPr>
        <w:t xml:space="preserve"> БЮДЖЕТНО</w:t>
      </w:r>
      <w:r w:rsidR="005B3594" w:rsidRPr="00343DA7">
        <w:rPr>
          <w:color w:val="000000" w:themeColor="text1"/>
          <w:sz w:val="16"/>
          <w:szCs w:val="16"/>
          <w:u w:val="single"/>
        </w:rPr>
        <w:t>МУ</w:t>
      </w:r>
      <w:r w:rsidR="00AF6761" w:rsidRPr="00343DA7">
        <w:rPr>
          <w:color w:val="000000" w:themeColor="text1"/>
          <w:sz w:val="16"/>
          <w:szCs w:val="16"/>
          <w:u w:val="single"/>
        </w:rPr>
        <w:t xml:space="preserve"> ОБЩЕОБРАЗОВАТЕЛЬНО</w:t>
      </w:r>
      <w:r w:rsidR="005B3594" w:rsidRPr="00343DA7">
        <w:rPr>
          <w:color w:val="000000" w:themeColor="text1"/>
          <w:sz w:val="16"/>
          <w:szCs w:val="16"/>
          <w:u w:val="single"/>
        </w:rPr>
        <w:t>МУ</w:t>
      </w:r>
      <w:r w:rsidR="00AF6761" w:rsidRPr="00343DA7">
        <w:rPr>
          <w:color w:val="000000" w:themeColor="text1"/>
          <w:sz w:val="16"/>
          <w:szCs w:val="16"/>
          <w:u w:val="single"/>
        </w:rPr>
        <w:t xml:space="preserve"> УЧРЕЖДЕНИ</w:t>
      </w:r>
      <w:r w:rsidR="005B3594" w:rsidRPr="00343DA7">
        <w:rPr>
          <w:color w:val="000000" w:themeColor="text1"/>
          <w:sz w:val="16"/>
          <w:szCs w:val="16"/>
          <w:u w:val="single"/>
        </w:rPr>
        <w:t>Ю</w:t>
      </w:r>
      <w:r w:rsidR="00AF6761" w:rsidRPr="00343DA7">
        <w:rPr>
          <w:color w:val="000000" w:themeColor="text1"/>
          <w:sz w:val="16"/>
          <w:szCs w:val="16"/>
          <w:u w:val="single"/>
        </w:rPr>
        <w:t xml:space="preserve"> "ОСНОВНАЯ ОБЩЕОБРАЗОВАТЕЛЬНАЯ ШКОЛА" С. УСТЬ-ЛЫЖА</w:t>
      </w:r>
      <w:r w:rsidR="00024610" w:rsidRPr="00343DA7">
        <w:rPr>
          <w:color w:val="000000" w:themeColor="text1"/>
          <w:sz w:val="20"/>
          <w:szCs w:val="20"/>
        </w:rPr>
        <w:t xml:space="preserve"> </w:t>
      </w:r>
      <w:r w:rsidRPr="00343DA7">
        <w:rPr>
          <w:color w:val="000000" w:themeColor="text1"/>
          <w:sz w:val="20"/>
          <w:szCs w:val="20"/>
        </w:rPr>
        <w:t xml:space="preserve">составила </w:t>
      </w:r>
      <w:r w:rsidR="00343DA7" w:rsidRPr="00343DA7">
        <w:rPr>
          <w:color w:val="000000" w:themeColor="text1"/>
          <w:sz w:val="20"/>
          <w:szCs w:val="20"/>
        </w:rPr>
        <w:t>29</w:t>
      </w:r>
      <w:r w:rsidR="002F33E6" w:rsidRPr="00343DA7">
        <w:rPr>
          <w:color w:val="000000" w:themeColor="text1"/>
          <w:sz w:val="20"/>
          <w:szCs w:val="20"/>
        </w:rPr>
        <w:t xml:space="preserve"> респондентов (</w:t>
      </w:r>
      <w:r w:rsidR="00343DA7" w:rsidRPr="00343DA7">
        <w:rPr>
          <w:color w:val="000000" w:themeColor="text1"/>
          <w:sz w:val="20"/>
          <w:szCs w:val="20"/>
        </w:rPr>
        <w:t>55,77</w:t>
      </w:r>
      <w:r w:rsidR="002F33E6" w:rsidRPr="00343DA7">
        <w:rPr>
          <w:color w:val="000000" w:themeColor="text1"/>
          <w:sz w:val="20"/>
          <w:szCs w:val="20"/>
        </w:rPr>
        <w:t xml:space="preserve"> % от общего количества потребителей услуг)</w:t>
      </w:r>
      <w:r w:rsidR="00343DA7" w:rsidRPr="00343DA7">
        <w:rPr>
          <w:color w:val="000000" w:themeColor="text1"/>
          <w:sz w:val="20"/>
          <w:szCs w:val="20"/>
        </w:rPr>
        <w:t xml:space="preserve">. Данный факт показывает среднюю </w:t>
      </w:r>
      <w:r w:rsidRPr="00343DA7">
        <w:rPr>
          <w:color w:val="000000" w:themeColor="text1"/>
          <w:sz w:val="20"/>
          <w:szCs w:val="20"/>
        </w:rPr>
        <w:t>активность респондентов</w:t>
      </w:r>
      <w:r w:rsidR="00343DA7" w:rsidRPr="00343DA7">
        <w:rPr>
          <w:i/>
          <w:color w:val="000000" w:themeColor="text1"/>
          <w:sz w:val="16"/>
          <w:szCs w:val="16"/>
        </w:rPr>
        <w:t>.</w:t>
      </w:r>
    </w:p>
    <w:p w:rsidR="00711AD0" w:rsidRPr="00711AD0" w:rsidRDefault="00711AD0" w:rsidP="00711AD0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4256"/>
        <w:gridCol w:w="1276"/>
        <w:gridCol w:w="1276"/>
        <w:gridCol w:w="1099"/>
        <w:gridCol w:w="1262"/>
      </w:tblGrid>
      <w:tr w:rsidR="00B37328" w:rsidRPr="00670CF1" w:rsidTr="00894358">
        <w:trPr>
          <w:trHeight w:val="845"/>
        </w:trPr>
        <w:tc>
          <w:tcPr>
            <w:tcW w:w="4678" w:type="dxa"/>
            <w:gridSpan w:val="2"/>
            <w:vAlign w:val="center"/>
          </w:tcPr>
          <w:p w:rsidR="00B37328" w:rsidRPr="00670CF1" w:rsidRDefault="00B37328" w:rsidP="002D7D8E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 xml:space="preserve">Показатели, </w:t>
            </w:r>
          </w:p>
          <w:p w:rsidR="00B37328" w:rsidRPr="00670CF1" w:rsidRDefault="00B37328" w:rsidP="002D7D8E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6" w:type="dxa"/>
            <w:vAlign w:val="center"/>
          </w:tcPr>
          <w:p w:rsidR="00B37328" w:rsidRPr="00670CF1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Максимальное значение показателя</w:t>
            </w:r>
          </w:p>
        </w:tc>
        <w:tc>
          <w:tcPr>
            <w:tcW w:w="1276" w:type="dxa"/>
            <w:vAlign w:val="center"/>
          </w:tcPr>
          <w:p w:rsidR="00B37328" w:rsidRPr="00670CF1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B37328" w:rsidRPr="00670CF1" w:rsidRDefault="00B37328" w:rsidP="002D7D8E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670CF1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099" w:type="dxa"/>
            <w:vAlign w:val="center"/>
          </w:tcPr>
          <w:p w:rsidR="00B37328" w:rsidRPr="00670CF1" w:rsidRDefault="00B37328" w:rsidP="00B373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Среднее достигнутое значение по кластеру ОО</w:t>
            </w:r>
          </w:p>
        </w:tc>
        <w:tc>
          <w:tcPr>
            <w:tcW w:w="1262" w:type="dxa"/>
            <w:vAlign w:val="center"/>
          </w:tcPr>
          <w:p w:rsidR="00B37328" w:rsidRPr="00670CF1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 xml:space="preserve">Среднее достигнутое значение </w:t>
            </w:r>
          </w:p>
          <w:p w:rsidR="00B37328" w:rsidRPr="00670CF1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по РК</w:t>
            </w:r>
          </w:p>
        </w:tc>
      </w:tr>
      <w:tr w:rsidR="00B37328" w:rsidRPr="00670CF1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B37328" w:rsidRPr="00670CF1" w:rsidRDefault="00B37328" w:rsidP="002D7D8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Критерий 1 «Открытость и доступность информации об организации»</w:t>
            </w:r>
          </w:p>
        </w:tc>
      </w:tr>
      <w:tr w:rsidR="00421469" w:rsidRPr="00670CF1" w:rsidTr="00250AAF">
        <w:trPr>
          <w:trHeight w:val="1132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proofErr w:type="gramStart"/>
            <w:r w:rsidRPr="00670CF1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  <w:proofErr w:type="gramEnd"/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</w:tr>
      <w:tr w:rsidR="00421469" w:rsidRPr="00670CF1" w:rsidTr="00250AAF">
        <w:trPr>
          <w:trHeight w:val="356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1.1.1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</w:tr>
      <w:tr w:rsidR="00421469" w:rsidRPr="00670CF1" w:rsidTr="00250AAF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1.1.2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</w:tr>
      <w:tr w:rsidR="00421469" w:rsidRPr="00670CF1" w:rsidTr="00250AAF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1.2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250AAF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1.2.1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proofErr w:type="gramStart"/>
            <w:r w:rsidRPr="00670CF1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  <w:proofErr w:type="gramEnd"/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250AAF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1.3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color w:val="000000"/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250AAF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1.3.1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250AAF">
        <w:trPr>
          <w:trHeight w:val="839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1.3.2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894358">
        <w:trPr>
          <w:trHeight w:val="413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rPr>
                <w:b/>
                <w:sz w:val="18"/>
                <w:szCs w:val="18"/>
                <w:highlight w:val="lightGray"/>
              </w:rPr>
            </w:pPr>
            <w:r w:rsidRPr="00670CF1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  <w:highlight w:val="lightGray"/>
              </w:rPr>
            </w:pPr>
            <w:r w:rsidRPr="00670CF1">
              <w:rPr>
                <w:b/>
                <w:sz w:val="18"/>
                <w:szCs w:val="18"/>
                <w:highlight w:val="lightGray"/>
              </w:rPr>
              <w:t>100</w:t>
            </w:r>
            <w:r w:rsidRPr="00670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98,60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95,27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95,26</w:t>
            </w:r>
          </w:p>
        </w:tc>
      </w:tr>
      <w:tr w:rsidR="00421469" w:rsidRPr="00670CF1" w:rsidTr="0079756B">
        <w:trPr>
          <w:trHeight w:val="417"/>
        </w:trPr>
        <w:tc>
          <w:tcPr>
            <w:tcW w:w="9591" w:type="dxa"/>
            <w:gridSpan w:val="6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421469" w:rsidRPr="00670CF1" w:rsidTr="00B96D75">
        <w:trPr>
          <w:trHeight w:val="709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2.1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21469" w:rsidRPr="00670CF1" w:rsidTr="00B96D75">
        <w:trPr>
          <w:trHeight w:val="1694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2.1.1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21469" w:rsidRPr="00670CF1" w:rsidTr="00B96D75">
        <w:trPr>
          <w:trHeight w:val="686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2.3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</w:tr>
      <w:tr w:rsidR="00421469" w:rsidRPr="00670CF1" w:rsidTr="00B96D75">
        <w:trPr>
          <w:trHeight w:val="710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2.3.1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</w:tr>
      <w:tr w:rsidR="00421469" w:rsidRPr="00670CF1" w:rsidTr="00894358">
        <w:trPr>
          <w:trHeight w:val="551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  <w:highlight w:val="lightGray"/>
              </w:rPr>
              <w:t>100</w:t>
            </w:r>
            <w:r w:rsidRPr="00670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96,62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97,66</w:t>
            </w:r>
          </w:p>
        </w:tc>
      </w:tr>
      <w:tr w:rsidR="00421469" w:rsidRPr="00670CF1" w:rsidTr="0079756B">
        <w:trPr>
          <w:trHeight w:val="367"/>
        </w:trPr>
        <w:tc>
          <w:tcPr>
            <w:tcW w:w="9591" w:type="dxa"/>
            <w:gridSpan w:val="6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421469" w:rsidRPr="00670CF1" w:rsidTr="00B64F57">
        <w:trPr>
          <w:trHeight w:val="748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3.1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18</w:t>
            </w:r>
          </w:p>
        </w:tc>
      </w:tr>
      <w:tr w:rsidR="00421469" w:rsidRPr="00670CF1" w:rsidTr="00B64F57">
        <w:trPr>
          <w:trHeight w:val="2067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3.1.1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proofErr w:type="gramStart"/>
            <w:r w:rsidRPr="00670CF1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  <w:proofErr w:type="gramEnd"/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18</w:t>
            </w:r>
          </w:p>
        </w:tc>
      </w:tr>
      <w:tr w:rsidR="00421469" w:rsidRPr="00670CF1" w:rsidTr="00B64F57">
        <w:trPr>
          <w:trHeight w:val="746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3.2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54</w:t>
            </w:r>
          </w:p>
        </w:tc>
      </w:tr>
      <w:tr w:rsidR="00421469" w:rsidRPr="00670CF1" w:rsidTr="00B64F57">
        <w:trPr>
          <w:trHeight w:val="3952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3.2.1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proofErr w:type="gramStart"/>
            <w:r w:rsidRPr="00670CF1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</w:t>
            </w:r>
            <w:proofErr w:type="gramEnd"/>
            <w:r w:rsidRPr="00670CF1">
              <w:rPr>
                <w:sz w:val="18"/>
                <w:szCs w:val="18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54</w:t>
            </w:r>
          </w:p>
        </w:tc>
      </w:tr>
      <w:tr w:rsidR="00421469" w:rsidRPr="00670CF1" w:rsidTr="00B64F57">
        <w:trPr>
          <w:trHeight w:val="857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3.3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72</w:t>
            </w:r>
          </w:p>
        </w:tc>
      </w:tr>
      <w:tr w:rsidR="00421469" w:rsidRPr="00670CF1" w:rsidTr="00B64F57">
        <w:trPr>
          <w:trHeight w:val="492"/>
        </w:trPr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3.3.1</w:t>
            </w:r>
          </w:p>
        </w:tc>
        <w:tc>
          <w:tcPr>
            <w:tcW w:w="4256" w:type="dxa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72</w:t>
            </w:r>
          </w:p>
        </w:tc>
      </w:tr>
      <w:tr w:rsidR="00421469" w:rsidRPr="00670CF1" w:rsidTr="00894358">
        <w:trPr>
          <w:trHeight w:val="46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  <w:highlight w:val="lightGray"/>
              </w:rPr>
              <w:t>100</w:t>
            </w:r>
            <w:r w:rsidRPr="00670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46,91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48,64</w:t>
            </w:r>
          </w:p>
        </w:tc>
      </w:tr>
      <w:tr w:rsidR="00421469" w:rsidRPr="00670CF1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lastRenderedPageBreak/>
              <w:t>Критерий 4 «Доброжелательность, вежливость работников организации»</w:t>
            </w:r>
          </w:p>
        </w:tc>
      </w:tr>
      <w:tr w:rsidR="00421469" w:rsidRPr="00670CF1" w:rsidTr="00193371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4.1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193371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4.1.1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193371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4.2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193371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4.2.1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193371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4.3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193371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4.3.1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proofErr w:type="gramStart"/>
            <w:r w:rsidRPr="00670CF1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  <w:proofErr w:type="gramEnd"/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894358"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  <w:highlight w:val="lightGray"/>
              </w:rPr>
              <w:t>100</w:t>
            </w:r>
            <w:r w:rsidRPr="00670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93,97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95,92</w:t>
            </w:r>
          </w:p>
        </w:tc>
      </w:tr>
      <w:tr w:rsidR="00421469" w:rsidRPr="00670CF1" w:rsidTr="004E28C0">
        <w:trPr>
          <w:trHeight w:val="325"/>
        </w:trPr>
        <w:tc>
          <w:tcPr>
            <w:tcW w:w="9591" w:type="dxa"/>
            <w:gridSpan w:val="6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421469" w:rsidRPr="00670CF1" w:rsidTr="00A876E0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5.1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</w:tr>
      <w:tr w:rsidR="00421469" w:rsidRPr="00670CF1" w:rsidTr="00A876E0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5.1.1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</w:tr>
      <w:tr w:rsidR="00421469" w:rsidRPr="00670CF1" w:rsidTr="00A876E0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5.2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</w:tr>
      <w:tr w:rsidR="00421469" w:rsidRPr="00670CF1" w:rsidTr="00A876E0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5.2.1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95</w:t>
            </w:r>
          </w:p>
        </w:tc>
      </w:tr>
      <w:tr w:rsidR="00421469" w:rsidRPr="00670CF1" w:rsidTr="00A876E0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5.3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A876E0">
        <w:tc>
          <w:tcPr>
            <w:tcW w:w="422" w:type="dxa"/>
            <w:vAlign w:val="center"/>
          </w:tcPr>
          <w:p w:rsidR="00421469" w:rsidRPr="00670CF1" w:rsidRDefault="00421469" w:rsidP="0042146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4256" w:type="dxa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099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421469" w:rsidRPr="00670CF1" w:rsidRDefault="00421469" w:rsidP="00421469">
            <w:pPr>
              <w:jc w:val="center"/>
              <w:rPr>
                <w:color w:val="000000"/>
                <w:sz w:val="18"/>
                <w:szCs w:val="18"/>
              </w:rPr>
            </w:pPr>
            <w:r w:rsidRPr="00670CF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421469" w:rsidRPr="00670CF1" w:rsidTr="00894358"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  <w:highlight w:val="lightGray"/>
              </w:rPr>
              <w:t>100</w:t>
            </w:r>
            <w:r w:rsidRPr="00670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92,30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92,71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95,02</w:t>
            </w:r>
          </w:p>
        </w:tc>
      </w:tr>
      <w:tr w:rsidR="00421469" w:rsidRPr="00670CF1" w:rsidTr="00894358"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rPr>
                <w:b/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sz w:val="18"/>
                <w:szCs w:val="18"/>
              </w:rPr>
            </w:pPr>
            <w:r w:rsidRPr="00670CF1">
              <w:rPr>
                <w:b/>
                <w:sz w:val="18"/>
                <w:szCs w:val="18"/>
                <w:highlight w:val="lightGray"/>
              </w:rPr>
              <w:t>100</w:t>
            </w:r>
            <w:r w:rsidRPr="00670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sz w:val="18"/>
                <w:szCs w:val="18"/>
              </w:rPr>
            </w:pPr>
            <w:r w:rsidRPr="00670CF1">
              <w:rPr>
                <w:b/>
                <w:bCs/>
                <w:sz w:val="18"/>
                <w:szCs w:val="18"/>
              </w:rPr>
              <w:t>92,98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21469" w:rsidRPr="00670CF1" w:rsidRDefault="00421469" w:rsidP="00421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CF1">
              <w:rPr>
                <w:b/>
                <w:bCs/>
                <w:color w:val="000000"/>
                <w:sz w:val="18"/>
                <w:szCs w:val="18"/>
              </w:rPr>
              <w:t>86,50</w:t>
            </w:r>
          </w:p>
        </w:tc>
      </w:tr>
    </w:tbl>
    <w:p w:rsidR="009A6A7A" w:rsidRDefault="009A6A7A" w:rsidP="00C71014">
      <w:pPr>
        <w:spacing w:after="200" w:line="276" w:lineRule="auto"/>
        <w:jc w:val="center"/>
        <w:rPr>
          <w:b/>
          <w:sz w:val="20"/>
          <w:szCs w:val="20"/>
        </w:rPr>
      </w:pPr>
    </w:p>
    <w:p w:rsidR="009A6A7A" w:rsidRDefault="009A6A7A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21469" w:rsidRPr="00421469" w:rsidRDefault="00421469" w:rsidP="00421469">
      <w:pPr>
        <w:spacing w:after="200" w:line="276" w:lineRule="auto"/>
        <w:jc w:val="center"/>
        <w:rPr>
          <w:b/>
          <w:sz w:val="20"/>
          <w:szCs w:val="20"/>
        </w:rPr>
      </w:pPr>
      <w:r w:rsidRPr="00421469">
        <w:rPr>
          <w:b/>
          <w:sz w:val="20"/>
          <w:szCs w:val="20"/>
        </w:rPr>
        <w:lastRenderedPageBreak/>
        <w:t xml:space="preserve">Соотношение среднего значения по критериям </w:t>
      </w:r>
      <w:proofErr w:type="gramStart"/>
      <w:r w:rsidRPr="00421469">
        <w:rPr>
          <w:b/>
          <w:sz w:val="20"/>
          <w:szCs w:val="20"/>
        </w:rPr>
        <w:t>оценки качества условий осуществления образовательной деятельности образовательной</w:t>
      </w:r>
      <w:proofErr w:type="gramEnd"/>
      <w:r w:rsidRPr="00421469">
        <w:rPr>
          <w:b/>
          <w:sz w:val="20"/>
          <w:szCs w:val="20"/>
        </w:rPr>
        <w:t xml:space="preserve"> организацией с итоговым по кластеру</w:t>
      </w:r>
    </w:p>
    <w:p w:rsidR="00421469" w:rsidRPr="00421469" w:rsidRDefault="00421469" w:rsidP="00421469">
      <w:pPr>
        <w:jc w:val="center"/>
        <w:rPr>
          <w:b/>
          <w:sz w:val="20"/>
          <w:szCs w:val="20"/>
        </w:rPr>
      </w:pPr>
      <w:r w:rsidRPr="00421469">
        <w:rPr>
          <w:b/>
          <w:sz w:val="20"/>
          <w:szCs w:val="20"/>
        </w:rPr>
        <w:t>«Общеобразовательные организации»</w:t>
      </w:r>
    </w:p>
    <w:p w:rsidR="00421469" w:rsidRPr="00421469" w:rsidRDefault="00421469" w:rsidP="00421469">
      <w:pPr>
        <w:ind w:hanging="1134"/>
        <w:jc w:val="center"/>
        <w:rPr>
          <w:sz w:val="22"/>
          <w:szCs w:val="22"/>
        </w:rPr>
      </w:pPr>
    </w:p>
    <w:p w:rsidR="00421469" w:rsidRPr="00421469" w:rsidRDefault="00421469" w:rsidP="00421469">
      <w:r w:rsidRPr="00421469">
        <w:rPr>
          <w:noProof/>
        </w:rPr>
        <w:drawing>
          <wp:inline distT="0" distB="0" distL="0" distR="0" wp14:anchorId="718F99E7" wp14:editId="2D10293B">
            <wp:extent cx="6029325" cy="3838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1469" w:rsidRPr="00421469" w:rsidRDefault="00421469" w:rsidP="00421469">
      <w:pPr>
        <w:rPr>
          <w:sz w:val="20"/>
          <w:szCs w:val="20"/>
        </w:rPr>
      </w:pPr>
    </w:p>
    <w:p w:rsidR="00421469" w:rsidRPr="00421469" w:rsidRDefault="00421469" w:rsidP="00421469">
      <w:pPr>
        <w:rPr>
          <w:sz w:val="20"/>
          <w:szCs w:val="20"/>
        </w:rPr>
      </w:pPr>
    </w:p>
    <w:p w:rsidR="00D00FD3" w:rsidRDefault="00D00FD3" w:rsidP="00D00FD3">
      <w:pPr>
        <w:rPr>
          <w:sz w:val="20"/>
          <w:szCs w:val="20"/>
        </w:rPr>
      </w:pPr>
    </w:p>
    <w:p w:rsidR="00D00FD3" w:rsidRDefault="00D00FD3" w:rsidP="00D00FD3">
      <w:pPr>
        <w:rPr>
          <w:sz w:val="20"/>
          <w:szCs w:val="20"/>
        </w:rPr>
      </w:pPr>
    </w:p>
    <w:p w:rsidR="00D00FD3" w:rsidRPr="00E02453" w:rsidRDefault="00D00FD3" w:rsidP="00D00FD3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E02453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D00FD3" w:rsidRPr="00E02453" w:rsidRDefault="00D00FD3" w:rsidP="00D00FD3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D00FD3" w:rsidRPr="00E57AD1" w:rsidRDefault="00D00FD3" w:rsidP="00D00F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lang w:val="ru"/>
        </w:rPr>
      </w:pPr>
      <w:r w:rsidRPr="00E57AD1">
        <w:rPr>
          <w:color w:val="000000" w:themeColor="text1"/>
          <w:sz w:val="20"/>
          <w:szCs w:val="20"/>
        </w:rPr>
        <w:t xml:space="preserve">В рамках независимой </w:t>
      </w:r>
      <w:proofErr w:type="gramStart"/>
      <w:r w:rsidRPr="00E57AD1">
        <w:rPr>
          <w:color w:val="000000" w:themeColor="text1"/>
          <w:sz w:val="20"/>
          <w:szCs w:val="20"/>
        </w:rPr>
        <w:t>оценки  качества условий осуществления образовательной деятельности</w:t>
      </w:r>
      <w:proofErr w:type="gramEnd"/>
      <w:r w:rsidRPr="00E57AD1">
        <w:rPr>
          <w:color w:val="000000" w:themeColor="text1"/>
          <w:sz w:val="20"/>
          <w:szCs w:val="20"/>
        </w:rPr>
        <w:t xml:space="preserve">                итоговое значение по совокупности общих критериев части показателей, характеризующих общие критерии оценки по организации высокое. </w:t>
      </w:r>
      <w:r w:rsidR="00957F7F">
        <w:rPr>
          <w:color w:val="000000" w:themeColor="text1"/>
          <w:sz w:val="20"/>
          <w:szCs w:val="20"/>
        </w:rPr>
        <w:t>Максимально</w:t>
      </w:r>
      <w:r w:rsidRPr="00E57AD1">
        <w:rPr>
          <w:color w:val="000000" w:themeColor="text1"/>
          <w:sz w:val="20"/>
          <w:szCs w:val="20"/>
        </w:rPr>
        <w:t xml:space="preserve"> высоко респонденты оценили </w:t>
      </w:r>
      <w:r w:rsidR="00957F7F">
        <w:rPr>
          <w:color w:val="000000" w:themeColor="text1"/>
          <w:sz w:val="20"/>
          <w:szCs w:val="20"/>
        </w:rPr>
        <w:t xml:space="preserve">критерии: </w:t>
      </w:r>
      <w:r w:rsidRPr="00E57AD1">
        <w:rPr>
          <w:color w:val="000000" w:themeColor="text1"/>
          <w:sz w:val="20"/>
          <w:szCs w:val="20"/>
        </w:rPr>
        <w:t>«Комфортность условий, в которых осуществляется образовательная</w:t>
      </w:r>
      <w:r w:rsidR="00957F7F">
        <w:rPr>
          <w:color w:val="000000" w:themeColor="text1"/>
          <w:sz w:val="20"/>
          <w:szCs w:val="20"/>
        </w:rPr>
        <w:t xml:space="preserve"> деятельность (100,00 баллов), </w:t>
      </w:r>
      <w:bookmarkStart w:id="0" w:name="_GoBack"/>
      <w:bookmarkEnd w:id="0"/>
      <w:r w:rsidRPr="00E57AD1">
        <w:rPr>
          <w:color w:val="000000" w:themeColor="text1"/>
          <w:sz w:val="20"/>
          <w:szCs w:val="20"/>
        </w:rPr>
        <w:t>«Доброжелательность, вежливость работников организации» (100,00 баллов).</w:t>
      </w:r>
    </w:p>
    <w:p w:rsidR="00D00FD3" w:rsidRPr="00E02453" w:rsidRDefault="00D00FD3" w:rsidP="00D00FD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D00FD3" w:rsidRPr="00E02453" w:rsidRDefault="00D00FD3" w:rsidP="00D00FD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0245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Выводы и предложения по устранению недостатков, выявленных в ходе </w:t>
      </w:r>
    </w:p>
    <w:p w:rsidR="00D00FD3" w:rsidRPr="00E02453" w:rsidRDefault="00D00FD3" w:rsidP="00D00FD3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02453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D00FD3" w:rsidRPr="00E02453" w:rsidRDefault="00D00FD3" w:rsidP="00D00FD3">
      <w:pPr>
        <w:pStyle w:val="a4"/>
        <w:widowControl w:val="0"/>
        <w:spacing w:after="0"/>
        <w:ind w:left="0" w:firstLine="567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="00D00FD3" w:rsidRPr="00F777E8" w:rsidRDefault="00D00FD3" w:rsidP="00D00F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  <w:lang w:val="ru"/>
        </w:rPr>
      </w:pPr>
      <w:r>
        <w:rPr>
          <w:color w:val="000000"/>
          <w:sz w:val="20"/>
          <w:szCs w:val="20"/>
        </w:rPr>
        <w:t xml:space="preserve">Несмотря на то, что </w:t>
      </w:r>
      <w:r w:rsidRPr="00CC5292">
        <w:rPr>
          <w:color w:val="000000"/>
          <w:sz w:val="20"/>
          <w:szCs w:val="20"/>
        </w:rPr>
        <w:t>показатель организации выше</w:t>
      </w:r>
      <w:r>
        <w:rPr>
          <w:color w:val="000000"/>
          <w:sz w:val="20"/>
          <w:szCs w:val="20"/>
        </w:rPr>
        <w:t xml:space="preserve"> среднего значения по кластеру </w:t>
      </w:r>
      <w:r w:rsidRPr="00CC5292">
        <w:rPr>
          <w:color w:val="000000"/>
          <w:sz w:val="20"/>
          <w:szCs w:val="20"/>
        </w:rPr>
        <w:t>ОО по всем критериям</w:t>
      </w:r>
      <w:r w:rsidRPr="00CC5292">
        <w:rPr>
          <w:noProof/>
          <w:sz w:val="20"/>
          <w:szCs w:val="20"/>
        </w:rPr>
        <w:t xml:space="preserve">, для дальнейшего повышения качества условий осуществления образовательной деятельности организации, предоставляющей услуги, рекомендуется </w:t>
      </w:r>
      <w:r w:rsidRPr="00D8101D">
        <w:rPr>
          <w:noProof/>
          <w:sz w:val="20"/>
          <w:szCs w:val="20"/>
        </w:rPr>
        <w:t xml:space="preserve">продолжить работу, направленную на улучшение </w:t>
      </w:r>
      <w:r>
        <w:rPr>
          <w:noProof/>
          <w:sz w:val="20"/>
          <w:szCs w:val="20"/>
        </w:rPr>
        <w:t>значений</w:t>
      </w:r>
      <w:r w:rsidRPr="00D8101D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        </w:t>
      </w:r>
      <w:r w:rsidRPr="00D8101D">
        <w:rPr>
          <w:noProof/>
          <w:sz w:val="20"/>
          <w:szCs w:val="20"/>
        </w:rPr>
        <w:t xml:space="preserve">по критерию, получившему наименьшую оценку, а именно </w:t>
      </w:r>
      <w:r w:rsidRPr="00F777E8">
        <w:rPr>
          <w:sz w:val="20"/>
          <w:szCs w:val="20"/>
        </w:rPr>
        <w:t>«Доступность образовательной деятельности для инвалидов»</w:t>
      </w:r>
      <w:r>
        <w:rPr>
          <w:sz w:val="20"/>
          <w:szCs w:val="20"/>
        </w:rPr>
        <w:t>.</w:t>
      </w:r>
    </w:p>
    <w:p w:rsidR="005E1783" w:rsidRPr="00421469" w:rsidRDefault="005E1783" w:rsidP="00D00FD3">
      <w:pPr>
        <w:ind w:left="-567"/>
        <w:jc w:val="center"/>
        <w:rPr>
          <w:sz w:val="20"/>
          <w:szCs w:val="20"/>
          <w:lang w:val="ru"/>
        </w:rPr>
      </w:pPr>
    </w:p>
    <w:sectPr w:rsidR="005E1783" w:rsidRPr="00421469" w:rsidSect="009A6A7A">
      <w:footnotePr>
        <w:numFmt w:val="chicago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F7" w:rsidRDefault="00F44DF7" w:rsidP="00A7093F">
      <w:r>
        <w:separator/>
      </w:r>
    </w:p>
  </w:endnote>
  <w:endnote w:type="continuationSeparator" w:id="0">
    <w:p w:rsidR="00F44DF7" w:rsidRDefault="00F44DF7" w:rsidP="00A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F7" w:rsidRDefault="00F44DF7" w:rsidP="00A7093F">
      <w:r>
        <w:separator/>
      </w:r>
    </w:p>
  </w:footnote>
  <w:footnote w:type="continuationSeparator" w:id="0">
    <w:p w:rsidR="00F44DF7" w:rsidRDefault="00F44DF7" w:rsidP="00A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A"/>
    <w:rsid w:val="00015602"/>
    <w:rsid w:val="00016B10"/>
    <w:rsid w:val="00017FCE"/>
    <w:rsid w:val="00023C06"/>
    <w:rsid w:val="0002444B"/>
    <w:rsid w:val="00024610"/>
    <w:rsid w:val="00024A93"/>
    <w:rsid w:val="000303D8"/>
    <w:rsid w:val="00033B58"/>
    <w:rsid w:val="00044C3B"/>
    <w:rsid w:val="00047ED2"/>
    <w:rsid w:val="000619AF"/>
    <w:rsid w:val="000673D6"/>
    <w:rsid w:val="00073FEB"/>
    <w:rsid w:val="00091731"/>
    <w:rsid w:val="00091A4C"/>
    <w:rsid w:val="00092F84"/>
    <w:rsid w:val="00094B3B"/>
    <w:rsid w:val="000A224A"/>
    <w:rsid w:val="000C2AA3"/>
    <w:rsid w:val="000C36FC"/>
    <w:rsid w:val="000D2BC0"/>
    <w:rsid w:val="000D4DF5"/>
    <w:rsid w:val="000E3D8A"/>
    <w:rsid w:val="000E77E7"/>
    <w:rsid w:val="000E7CD7"/>
    <w:rsid w:val="0010121A"/>
    <w:rsid w:val="00101C37"/>
    <w:rsid w:val="00104CE2"/>
    <w:rsid w:val="001118E3"/>
    <w:rsid w:val="00120A1E"/>
    <w:rsid w:val="001263F4"/>
    <w:rsid w:val="00142224"/>
    <w:rsid w:val="001618F2"/>
    <w:rsid w:val="00165B00"/>
    <w:rsid w:val="0017206E"/>
    <w:rsid w:val="00173A9C"/>
    <w:rsid w:val="001816C7"/>
    <w:rsid w:val="00186C0B"/>
    <w:rsid w:val="001944F7"/>
    <w:rsid w:val="001A4B9E"/>
    <w:rsid w:val="001A7943"/>
    <w:rsid w:val="001B461A"/>
    <w:rsid w:val="001B6CD8"/>
    <w:rsid w:val="001C527D"/>
    <w:rsid w:val="001C5B08"/>
    <w:rsid w:val="001E34C0"/>
    <w:rsid w:val="001E6815"/>
    <w:rsid w:val="001F1926"/>
    <w:rsid w:val="00203937"/>
    <w:rsid w:val="00222D6C"/>
    <w:rsid w:val="00224FBE"/>
    <w:rsid w:val="00236B58"/>
    <w:rsid w:val="00283BD1"/>
    <w:rsid w:val="00284F99"/>
    <w:rsid w:val="002965D5"/>
    <w:rsid w:val="002A3AD7"/>
    <w:rsid w:val="002A622E"/>
    <w:rsid w:val="002B6B88"/>
    <w:rsid w:val="002C1893"/>
    <w:rsid w:val="002D0E76"/>
    <w:rsid w:val="002D1EFD"/>
    <w:rsid w:val="002D7D8E"/>
    <w:rsid w:val="002E0F85"/>
    <w:rsid w:val="002F33E6"/>
    <w:rsid w:val="002F4039"/>
    <w:rsid w:val="00300C4D"/>
    <w:rsid w:val="00300DE0"/>
    <w:rsid w:val="00304594"/>
    <w:rsid w:val="00306FC5"/>
    <w:rsid w:val="00312F0D"/>
    <w:rsid w:val="003134C6"/>
    <w:rsid w:val="00320540"/>
    <w:rsid w:val="00321C3B"/>
    <w:rsid w:val="00323267"/>
    <w:rsid w:val="003266FE"/>
    <w:rsid w:val="00327CA2"/>
    <w:rsid w:val="0033173F"/>
    <w:rsid w:val="00335276"/>
    <w:rsid w:val="00343DA7"/>
    <w:rsid w:val="00344C7C"/>
    <w:rsid w:val="003561E6"/>
    <w:rsid w:val="00356464"/>
    <w:rsid w:val="0037416C"/>
    <w:rsid w:val="00375B68"/>
    <w:rsid w:val="003853E1"/>
    <w:rsid w:val="00385451"/>
    <w:rsid w:val="003B2065"/>
    <w:rsid w:val="003D07CE"/>
    <w:rsid w:val="003D0CEF"/>
    <w:rsid w:val="003D50D2"/>
    <w:rsid w:val="003E066D"/>
    <w:rsid w:val="003E22AC"/>
    <w:rsid w:val="003E3368"/>
    <w:rsid w:val="003E36B3"/>
    <w:rsid w:val="003E4C8E"/>
    <w:rsid w:val="00404A8F"/>
    <w:rsid w:val="004136C1"/>
    <w:rsid w:val="00421469"/>
    <w:rsid w:val="00421DEC"/>
    <w:rsid w:val="0043737A"/>
    <w:rsid w:val="0046062F"/>
    <w:rsid w:val="0046761B"/>
    <w:rsid w:val="00485671"/>
    <w:rsid w:val="00493D16"/>
    <w:rsid w:val="00497813"/>
    <w:rsid w:val="004A603F"/>
    <w:rsid w:val="004A6947"/>
    <w:rsid w:val="004B33EF"/>
    <w:rsid w:val="004D4277"/>
    <w:rsid w:val="004E0C66"/>
    <w:rsid w:val="004E1A57"/>
    <w:rsid w:val="004E28C0"/>
    <w:rsid w:val="004F1AA7"/>
    <w:rsid w:val="004F56E0"/>
    <w:rsid w:val="004F75CD"/>
    <w:rsid w:val="004F7637"/>
    <w:rsid w:val="00517AB2"/>
    <w:rsid w:val="00523B53"/>
    <w:rsid w:val="00523EB7"/>
    <w:rsid w:val="00545E1B"/>
    <w:rsid w:val="00554A6C"/>
    <w:rsid w:val="00560D30"/>
    <w:rsid w:val="00564484"/>
    <w:rsid w:val="00572BEB"/>
    <w:rsid w:val="00576936"/>
    <w:rsid w:val="0058037F"/>
    <w:rsid w:val="00583207"/>
    <w:rsid w:val="005840A5"/>
    <w:rsid w:val="005A2C40"/>
    <w:rsid w:val="005B3594"/>
    <w:rsid w:val="005C39D5"/>
    <w:rsid w:val="005E1783"/>
    <w:rsid w:val="005E5C26"/>
    <w:rsid w:val="006040F7"/>
    <w:rsid w:val="00613655"/>
    <w:rsid w:val="00613F26"/>
    <w:rsid w:val="006245BD"/>
    <w:rsid w:val="006321BC"/>
    <w:rsid w:val="00647257"/>
    <w:rsid w:val="0065312C"/>
    <w:rsid w:val="00663B18"/>
    <w:rsid w:val="00670CF1"/>
    <w:rsid w:val="00683048"/>
    <w:rsid w:val="00685319"/>
    <w:rsid w:val="00691077"/>
    <w:rsid w:val="00693DEB"/>
    <w:rsid w:val="006A2646"/>
    <w:rsid w:val="006A48EE"/>
    <w:rsid w:val="006B0D35"/>
    <w:rsid w:val="006C722C"/>
    <w:rsid w:val="006D24AB"/>
    <w:rsid w:val="006E4FC7"/>
    <w:rsid w:val="006E60D6"/>
    <w:rsid w:val="006F02C3"/>
    <w:rsid w:val="006F039E"/>
    <w:rsid w:val="00711AD0"/>
    <w:rsid w:val="00712D5B"/>
    <w:rsid w:val="00716035"/>
    <w:rsid w:val="00716845"/>
    <w:rsid w:val="00716E94"/>
    <w:rsid w:val="00720B26"/>
    <w:rsid w:val="007239D0"/>
    <w:rsid w:val="00727C2C"/>
    <w:rsid w:val="00735216"/>
    <w:rsid w:val="00735D23"/>
    <w:rsid w:val="00736AF8"/>
    <w:rsid w:val="007401C1"/>
    <w:rsid w:val="00744821"/>
    <w:rsid w:val="0074589B"/>
    <w:rsid w:val="00746DCC"/>
    <w:rsid w:val="00751128"/>
    <w:rsid w:val="00765BB9"/>
    <w:rsid w:val="00781639"/>
    <w:rsid w:val="00782675"/>
    <w:rsid w:val="00783938"/>
    <w:rsid w:val="007839E9"/>
    <w:rsid w:val="00792052"/>
    <w:rsid w:val="00792331"/>
    <w:rsid w:val="0079404C"/>
    <w:rsid w:val="0079457A"/>
    <w:rsid w:val="00796F8A"/>
    <w:rsid w:val="0079756B"/>
    <w:rsid w:val="007C658B"/>
    <w:rsid w:val="007C7693"/>
    <w:rsid w:val="007D1BC4"/>
    <w:rsid w:val="007F1337"/>
    <w:rsid w:val="007F1FE2"/>
    <w:rsid w:val="007F63C9"/>
    <w:rsid w:val="0080084F"/>
    <w:rsid w:val="00811A97"/>
    <w:rsid w:val="00816D5F"/>
    <w:rsid w:val="00836BA9"/>
    <w:rsid w:val="00851300"/>
    <w:rsid w:val="00856494"/>
    <w:rsid w:val="008568BE"/>
    <w:rsid w:val="008576E3"/>
    <w:rsid w:val="00860C08"/>
    <w:rsid w:val="00863554"/>
    <w:rsid w:val="00887480"/>
    <w:rsid w:val="00894358"/>
    <w:rsid w:val="008948E0"/>
    <w:rsid w:val="008A3116"/>
    <w:rsid w:val="008A5C75"/>
    <w:rsid w:val="008B2161"/>
    <w:rsid w:val="008C4C1D"/>
    <w:rsid w:val="008F3F35"/>
    <w:rsid w:val="008F400F"/>
    <w:rsid w:val="00923E01"/>
    <w:rsid w:val="00924075"/>
    <w:rsid w:val="00926480"/>
    <w:rsid w:val="0093443B"/>
    <w:rsid w:val="009355FA"/>
    <w:rsid w:val="009370A6"/>
    <w:rsid w:val="009375E2"/>
    <w:rsid w:val="00946180"/>
    <w:rsid w:val="00957F7F"/>
    <w:rsid w:val="00967197"/>
    <w:rsid w:val="0097381B"/>
    <w:rsid w:val="0097515E"/>
    <w:rsid w:val="00975CA8"/>
    <w:rsid w:val="009862C5"/>
    <w:rsid w:val="00987D09"/>
    <w:rsid w:val="00992411"/>
    <w:rsid w:val="009A4D1B"/>
    <w:rsid w:val="009A55EB"/>
    <w:rsid w:val="009A5F94"/>
    <w:rsid w:val="009A6A7A"/>
    <w:rsid w:val="009B3A84"/>
    <w:rsid w:val="009C21DC"/>
    <w:rsid w:val="009D09D3"/>
    <w:rsid w:val="009D2B09"/>
    <w:rsid w:val="009E6CED"/>
    <w:rsid w:val="009F556E"/>
    <w:rsid w:val="00A0686F"/>
    <w:rsid w:val="00A12C70"/>
    <w:rsid w:val="00A16D43"/>
    <w:rsid w:val="00A2756D"/>
    <w:rsid w:val="00A27A55"/>
    <w:rsid w:val="00A334A5"/>
    <w:rsid w:val="00A52701"/>
    <w:rsid w:val="00A553A7"/>
    <w:rsid w:val="00A64BD7"/>
    <w:rsid w:val="00A7093F"/>
    <w:rsid w:val="00A70CA6"/>
    <w:rsid w:val="00A80ECF"/>
    <w:rsid w:val="00A81A13"/>
    <w:rsid w:val="00A868B4"/>
    <w:rsid w:val="00A911EE"/>
    <w:rsid w:val="00AD617A"/>
    <w:rsid w:val="00AD78AB"/>
    <w:rsid w:val="00AE7879"/>
    <w:rsid w:val="00AF6761"/>
    <w:rsid w:val="00B11ADA"/>
    <w:rsid w:val="00B35487"/>
    <w:rsid w:val="00B35D01"/>
    <w:rsid w:val="00B37328"/>
    <w:rsid w:val="00B37B41"/>
    <w:rsid w:val="00B46F61"/>
    <w:rsid w:val="00B6156A"/>
    <w:rsid w:val="00B6480D"/>
    <w:rsid w:val="00B6591A"/>
    <w:rsid w:val="00B71FFB"/>
    <w:rsid w:val="00B74F35"/>
    <w:rsid w:val="00B757F8"/>
    <w:rsid w:val="00B86C4A"/>
    <w:rsid w:val="00B9576A"/>
    <w:rsid w:val="00BA25B8"/>
    <w:rsid w:val="00BB2BC6"/>
    <w:rsid w:val="00BD07FD"/>
    <w:rsid w:val="00BD2EDF"/>
    <w:rsid w:val="00BD3F17"/>
    <w:rsid w:val="00BE493D"/>
    <w:rsid w:val="00BF0F8B"/>
    <w:rsid w:val="00BF6274"/>
    <w:rsid w:val="00C02DA1"/>
    <w:rsid w:val="00C05E98"/>
    <w:rsid w:val="00C12972"/>
    <w:rsid w:val="00C21014"/>
    <w:rsid w:val="00C27BF1"/>
    <w:rsid w:val="00C53484"/>
    <w:rsid w:val="00C5424C"/>
    <w:rsid w:val="00C57BDE"/>
    <w:rsid w:val="00C6581C"/>
    <w:rsid w:val="00C71014"/>
    <w:rsid w:val="00C71D1A"/>
    <w:rsid w:val="00C75A78"/>
    <w:rsid w:val="00C80B33"/>
    <w:rsid w:val="00C85714"/>
    <w:rsid w:val="00CB274F"/>
    <w:rsid w:val="00CB5BC0"/>
    <w:rsid w:val="00CB6D1E"/>
    <w:rsid w:val="00CC0058"/>
    <w:rsid w:val="00CD1A27"/>
    <w:rsid w:val="00D00FD3"/>
    <w:rsid w:val="00D06551"/>
    <w:rsid w:val="00D11026"/>
    <w:rsid w:val="00D14EFA"/>
    <w:rsid w:val="00D420AC"/>
    <w:rsid w:val="00D424F7"/>
    <w:rsid w:val="00D42959"/>
    <w:rsid w:val="00D43AAB"/>
    <w:rsid w:val="00D63BA6"/>
    <w:rsid w:val="00D926BF"/>
    <w:rsid w:val="00D977ED"/>
    <w:rsid w:val="00DA5F96"/>
    <w:rsid w:val="00DB0B22"/>
    <w:rsid w:val="00DB612B"/>
    <w:rsid w:val="00DC2E77"/>
    <w:rsid w:val="00DC3990"/>
    <w:rsid w:val="00DD10E3"/>
    <w:rsid w:val="00DE5E57"/>
    <w:rsid w:val="00DF5510"/>
    <w:rsid w:val="00DF7C09"/>
    <w:rsid w:val="00E0186E"/>
    <w:rsid w:val="00E02453"/>
    <w:rsid w:val="00E0320E"/>
    <w:rsid w:val="00E32E2D"/>
    <w:rsid w:val="00E45E96"/>
    <w:rsid w:val="00E622F1"/>
    <w:rsid w:val="00E63384"/>
    <w:rsid w:val="00E67451"/>
    <w:rsid w:val="00E72E50"/>
    <w:rsid w:val="00E77AC6"/>
    <w:rsid w:val="00E81A6F"/>
    <w:rsid w:val="00E84A25"/>
    <w:rsid w:val="00E868C9"/>
    <w:rsid w:val="00E96B0F"/>
    <w:rsid w:val="00EA0B63"/>
    <w:rsid w:val="00EA2B98"/>
    <w:rsid w:val="00EA7075"/>
    <w:rsid w:val="00EB034C"/>
    <w:rsid w:val="00EB3867"/>
    <w:rsid w:val="00EB3D82"/>
    <w:rsid w:val="00EC4435"/>
    <w:rsid w:val="00EF2CE4"/>
    <w:rsid w:val="00F343AE"/>
    <w:rsid w:val="00F44DF7"/>
    <w:rsid w:val="00F45B6D"/>
    <w:rsid w:val="00F62D3C"/>
    <w:rsid w:val="00F65705"/>
    <w:rsid w:val="00F671D0"/>
    <w:rsid w:val="00F830B2"/>
    <w:rsid w:val="00F8583F"/>
    <w:rsid w:val="00F97ED2"/>
    <w:rsid w:val="00FA096A"/>
    <w:rsid w:val="00FA7455"/>
    <w:rsid w:val="00FD4CE8"/>
    <w:rsid w:val="00FD7E3F"/>
    <w:rsid w:val="00FE476A"/>
    <w:rsid w:val="00FE5B64"/>
    <w:rsid w:val="00FE664F"/>
    <w:rsid w:val="00FE68EC"/>
    <w:rsid w:val="00FF448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2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2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78F-4C37-ADE4-8A91506491C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78F-4C37-ADE4-8A91506491C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8F-4C37-ADE4-8A91506491C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8F-4C37-ADE4-8A91506491C8}"/>
              </c:ext>
            </c:extLst>
          </c:dPt>
          <c:dLbls>
            <c:dLbl>
              <c:idx val="0"/>
              <c:layout>
                <c:manualLayout>
                  <c:x val="0"/>
                  <c:y val="6.4229564356564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78F-4C37-ADE4-8A91506491C8}"/>
                </c:ext>
              </c:extLst>
            </c:dLbl>
            <c:dLbl>
              <c:idx val="1"/>
              <c:layout>
                <c:manualLayout>
                  <c:x val="9.9570254780367934E-7"/>
                  <c:y val="6.6202662167229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78F-4C37-ADE4-8A91506491C8}"/>
                </c:ext>
              </c:extLst>
            </c:dLbl>
            <c:dLbl>
              <c:idx val="2"/>
              <c:layout>
                <c:manualLayout>
                  <c:x val="0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78F-4C37-ADE4-8A91506491C8}"/>
                </c:ext>
              </c:extLst>
            </c:dLbl>
            <c:dLbl>
              <c:idx val="3"/>
              <c:layout>
                <c:manualLayout>
                  <c:x val="0"/>
                  <c:y val="6.6137566137566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78F-4C37-ADE4-8A91506491C8}"/>
                </c:ext>
              </c:extLst>
            </c:dLbl>
            <c:dLbl>
              <c:idx val="4"/>
              <c:layout>
                <c:manualLayout>
                  <c:x val="0"/>
                  <c:y val="1.654259718775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78F-4C37-ADE4-8A91506491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98.6</c:v>
                </c:pt>
                <c:pt idx="1">
                  <c:v>100</c:v>
                </c:pt>
                <c:pt idx="2">
                  <c:v>74</c:v>
                </c:pt>
                <c:pt idx="3">
                  <c:v>100</c:v>
                </c:pt>
                <c:pt idx="4">
                  <c:v>92.3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78F-4C37-ADE4-8A91506491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2099043661718251E-3"/>
                  <c:y val="6.6259467357900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78F-4C37-ADE4-8A91506491C8}"/>
                </c:ext>
              </c:extLst>
            </c:dLbl>
            <c:dLbl>
              <c:idx val="1"/>
              <c:layout>
                <c:manualLayout>
                  <c:x val="4.3482330262586679E-3"/>
                  <c:y val="9.81934549847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78F-4C37-ADE4-8A91506491C8}"/>
                </c:ext>
              </c:extLst>
            </c:dLbl>
            <c:dLbl>
              <c:idx val="2"/>
              <c:layout>
                <c:manualLayout>
                  <c:x val="4.0777749741958092E-3"/>
                  <c:y val="1.1101200228942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78F-4C37-ADE4-8A91506491C8}"/>
                </c:ext>
              </c:extLst>
            </c:dLbl>
            <c:dLbl>
              <c:idx val="3"/>
              <c:layout>
                <c:manualLayout>
                  <c:x val="4.0787696747627555E-3"/>
                  <c:y val="6.5317253931984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78F-4C37-ADE4-8A91506491C8}"/>
                </c:ext>
              </c:extLst>
            </c:dLbl>
            <c:dLbl>
              <c:idx val="4"/>
              <c:layout>
                <c:manualLayout>
                  <c:x val="4.2108260746617603E-3"/>
                  <c:y val="6.6233908261467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78F-4C37-ADE4-8A91506491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95.27</c:v>
                </c:pt>
                <c:pt idx="1">
                  <c:v>96.62</c:v>
                </c:pt>
                <c:pt idx="2">
                  <c:v>46.91</c:v>
                </c:pt>
                <c:pt idx="3">
                  <c:v>93.97</c:v>
                </c:pt>
                <c:pt idx="4">
                  <c:v>92.71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78F-4C37-ADE4-8A9150649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92544"/>
        <c:axId val="34094080"/>
      </c:barChart>
      <c:catAx>
        <c:axId val="3409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094080"/>
        <c:crosses val="autoZero"/>
        <c:auto val="1"/>
        <c:lblAlgn val="ctr"/>
        <c:lblOffset val="100"/>
        <c:noMultiLvlLbl val="0"/>
      </c:catAx>
      <c:valAx>
        <c:axId val="34094080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340925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B477-30EC-4D6D-807A-1045542F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Елена Валерьевна Турубанова</cp:lastModifiedBy>
  <cp:revision>126</cp:revision>
  <cp:lastPrinted>2021-10-14T06:48:00Z</cp:lastPrinted>
  <dcterms:created xsi:type="dcterms:W3CDTF">2019-10-24T12:51:00Z</dcterms:created>
  <dcterms:modified xsi:type="dcterms:W3CDTF">2022-09-22T07:35:00Z</dcterms:modified>
</cp:coreProperties>
</file>